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9992" w14:textId="77777777" w:rsidR="004A2ADE" w:rsidRDefault="00927040" w:rsidP="00927040">
      <w:pPr>
        <w:jc w:val="both"/>
      </w:pPr>
      <w:r>
        <w:t>Film przedstawia opisywaną sytuację. Pod kamerą monitoringu siedzi grupa młodych osób. Jeden z nich spożywa alkohol w postaci piwa. Po chwili na miejsce przyjeżdża policyjny radiowóz. Funkcjonariusze podejmują interwencję.</w:t>
      </w:r>
    </w:p>
    <w:sectPr w:rsidR="004A2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40"/>
    <w:rsid w:val="004A2ADE"/>
    <w:rsid w:val="004A7300"/>
    <w:rsid w:val="0092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025D"/>
  <w15:chartTrackingRefBased/>
  <w15:docId w15:val="{3C83EAE0-7CE7-4996-936A-A2A9EFC3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192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Ślusarczyk</dc:creator>
  <cp:keywords/>
  <dc:description/>
  <cp:lastModifiedBy>Damian Stefaniec</cp:lastModifiedBy>
  <cp:revision>2</cp:revision>
  <dcterms:created xsi:type="dcterms:W3CDTF">2022-02-11T12:48:00Z</dcterms:created>
  <dcterms:modified xsi:type="dcterms:W3CDTF">2022-02-11T12:48:00Z</dcterms:modified>
</cp:coreProperties>
</file>